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конкурсе методических разработок в области </w:t>
        <w:br/>
        <w:t xml:space="preserve">религиозного просвещения и духовно-нравственного воспитания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Кладезь мудрости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56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56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методических разработок в области религиозного просвещения и духовно-нравственного воспитания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Кладезь мудрости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–– Конкурс) проводится Синодальным отделом религиозного образования и катехизации Белорусской Православной Церкви (далее –– Синодальный отдел) среди педагогов воскресных школ, методистов, администраторов, катехизаторов и других лиц, ответственных за приходское просвещение.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Конкурса: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выявление и распространение лучшего опыта религиозного просвещения и духовно-нравственного воспитания детей и молодёжи. 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 Конкурса: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обобщение опыта духовно-нравственного воспитания и обучения детей и молодежи на приходах;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отбор и внедрение наиболее эффективных форм и методов обучения и воспитания;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базы методических разработок в области религиозного просвещения и духовно-нравственного воспитания.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Конкурсе могут принимать участие педагоги воскресных школ, методисты, администраторы, катехизаторы и другие лица, ответственные за приходское просвещение, а также коллективы авторов (в составе не более 3-х человек).</w:t>
      </w:r>
    </w:p>
    <w:p>
      <w:pPr>
        <w:spacing w:before="156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Номинации Конкурса</w:t>
      </w:r>
    </w:p>
    <w:p>
      <w:pPr>
        <w:spacing w:before="156" w:after="24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проводится по следующим номинациям: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сценарий праздника, пьесы, других мероприятий, проведенных в воскресной школе, на приходе в течение последних 3 лет.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Представляются: оформленный текст сценария, медиафайлы (музыка, фото декораций, костюмов, видео постановки);</w:t>
      </w:r>
    </w:p>
    <w:p>
      <w:pPr>
        <w:spacing w:before="12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паломничество по святыням Беларуси, совершенное воспитанниками воскресной школы (далее – ВШ) в течение последних 3 лет.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Представляются: оформленный маршрут, медиафайлы (фото, видео, текст экскурсии), концепция мероприятия (ее нравственное, богословское и педагогическое содержание);</w:t>
      </w:r>
    </w:p>
    <w:p>
      <w:pPr>
        <w:spacing w:before="12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социальная акция, проведенная ВШ (не позднее последних 3 лет).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Представляются: концепция акции (ее нравственное, богословское и педагогическое содержание), медиа материалы (фото, текст, видео), результат (достигнутая цель);</w:t>
      </w:r>
    </w:p>
    <w:p>
      <w:pPr>
        <w:spacing w:before="12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методическая разработка для ВШ (модуль от 5-10 уроков).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Представляются: методическая разработка модуля в объеме 5-10 уроков;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 в ВШ по тематике Белорусских святых.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Представляется: методическая разработка урока, посвященная Белорусским святым;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методическая разработка, посвященная памяти святого благоверного великого князя Александра Невского.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Представляются: оформленный текст методической разработки, фото, видео и иные материалы.</w:t>
      </w:r>
    </w:p>
    <w:p>
      <w:pPr>
        <w:spacing w:before="156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Организация Конкурса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организации и проведения Конкурса при Синодальном отделе создается Конкурсная комиссия (далее – Комиссия).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Председателем Комиссии является заместитель Председателя Синодального отдела (далее — Председатель комиссии). В состав Комиссии входят представители Белорусской Православной Церкви, творческой, педагогической общественности и общественных объединений. Кандидатуры в состав Комиссии предлагаются Председателем комиссии. Состав Комиссии утверждается Председателем Синодального отдела.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Заседание Комиссии считается правомочным, если на нем присутствует не менее двух третей её членов. Решения Комиссии принимаются открытым голосованием простым большинством голосов. В случае равенства голосов Председатель Комиссии имеет решающий голос. Решение оформляется протоколом.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своих полномочий Комиссия: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организовывает прием работ для участия в Конкурсе в соответствии с требованиями настоящего Положения;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запрашивает дополнительные материалы (при недостатке представленной информации) для проведения качественной экспертизы и выставления экспертами обоснованных оценок;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 популяризацию Конкурса и его результатов через средства массовой информации, посредством проведения круглых столов, семинаров, презентаций работ, в том числе на сайте Синодального отдела религиозного образования и катехизации Белорусского Экзархата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http://www.oroik.by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- сайт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http://www.oroik.by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)</w:t>
      </w:r>
    </w:p>
    <w:p>
      <w:pPr>
        <w:spacing w:before="156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Порядок проведения Конкурса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Объявление о начале и сроках проведения Конкурса размещаются на сайте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http://www.oroik.by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оформления и сроки подачи материалов.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участия в Конкурсе претендент должен: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1 ноября текущего года направить по адресу электронной почты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oroik.concours@gmail.com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методическую разработку в соответствии с установленными требованиями;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заполнить электронную анкету участника Конкурса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https://forms.gle/YQHeQesrxDxpSB5c7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к оформлению конкурсных материалов: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 конкурсной работы выполняется в программе Microsoft Word в форматах doc, doсх;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поля: верхнее, нижнее – 2 см., левое – 3 см., правое – 1,5 см.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шрифт Times New Roman, кегль – 14;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междустрочный интервал – одинарный;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выравнивание – по ширине;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титульном листе документа указывается полное наименование воскресной школы, данные автора (Ф.И.О, дату проведения мероприятий);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фотографии в  хорошем качестве;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презентации выполняются в программе PowerPoint и должны содержать не более 20-ти слайдов;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аудиофайлы предоставляются в виде ссылки на облачное хранилище с разрешением на скачивание; 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видеофайлы в формате mp4 (рекомендуемое разрешение 480 р. или 720 р.) предоставляются в виде ссылки на облачное хранилище с разрешением на скачивание.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Рекомендуется все предоставляемые материалы размещать в одной папке облачного хранилища с разрешением доступа к папке по указанной претендентом ссылке.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Критерии оценки предоставляемого материала: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актуальность;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четко поставленная и реализуемая цель;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соответствие цели и содержания;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духовно-нравственная направленность; 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вариативность методов работы;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новизна подачи материала;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учет возрастных особенностей учащихся;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качество исполнения.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Конкурсная комиссия проверяет представленные материалы на соответствие критериям Конкурса. Результаты обсуждения членами Комиссии работ участников Конкурса и ход голосования по ним разглашению не подлежат. Работы, поданные на Конкурс, не рецензируются и не возвращаются. Комиссия не вступает в переписку с авторами работ.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Представление материалов на Конкурс рассматривается как согласие авторов на открытую публикацию на ресурсах Синодального отдела религиозного образования и катехизации с обязательным указанием авторства.</w:t>
      </w:r>
    </w:p>
    <w:p>
      <w:pPr>
        <w:spacing w:before="156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Подведение итогов Конкурса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рассмотрения работ Комиссия определяет победителей. В каждой номинации присуждается одно первое, одно второе и одно третье место. Победители конкурса награждаются грамотами Синодального отдела. Участники Конкурса, занявшие вторые или третьи места, – дипломами Синодального отдела.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Подведение итогов Конкурса осуществляется в течение месяца после завершения приема работ Комиссией.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Награждение победителей Конкурса проводится в торжественной обстановке. Расходы на проезд, питание и проживание победителей Конкурса несет направляющая сторона. Место и сроки награждения устанавливаются Комиссией.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решению Комиссии победителям Конкурса могут быть вручены ценные подарки.</w:t>
      </w:r>
    </w:p>
    <w:p>
      <w:pPr>
        <w:spacing w:before="156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результатах Конкурса размещается на сайте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http://www.oroik.by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 средствах массовой информации.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oroik.by/" Id="docRId1" Type="http://schemas.openxmlformats.org/officeDocument/2006/relationships/hyperlink"/><Relationship TargetMode="External" Target="mailto:oroik.concours@gmail.com" Id="docRId3" Type="http://schemas.openxmlformats.org/officeDocument/2006/relationships/hyperlink"/><Relationship TargetMode="External" Target="http://www.oroik.by/" Id="docRId5" Type="http://schemas.openxmlformats.org/officeDocument/2006/relationships/hyperlink"/><Relationship Target="styles.xml" Id="docRId7" Type="http://schemas.openxmlformats.org/officeDocument/2006/relationships/styles"/><Relationship TargetMode="External" Target="http://www.oroik.by/" Id="docRId0" Type="http://schemas.openxmlformats.org/officeDocument/2006/relationships/hyperlink"/><Relationship TargetMode="External" Target="http://www.oroik.by/" Id="docRId2" Type="http://schemas.openxmlformats.org/officeDocument/2006/relationships/hyperlink"/><Relationship TargetMode="External" Target="https://forms.gle/YQHeQesrxDxpSB5c7" Id="docRId4" Type="http://schemas.openxmlformats.org/officeDocument/2006/relationships/hyperlink"/><Relationship Target="numbering.xml" Id="docRId6" Type="http://schemas.openxmlformats.org/officeDocument/2006/relationships/numbering"/></Relationships>
</file>